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FC539" w14:textId="77777777" w:rsidR="00F571B6" w:rsidRPr="00F571B6" w:rsidRDefault="00F571B6" w:rsidP="00F571B6">
      <w:pPr>
        <w:widowControl/>
        <w:autoSpaceDE w:val="0"/>
        <w:autoSpaceDN w:val="0"/>
        <w:adjustRightInd w:val="0"/>
        <w:spacing w:line="400" w:lineRule="exact"/>
        <w:jc w:val="left"/>
        <w:rPr>
          <w:rFonts w:ascii="メイリオ ボールド イタリック" w:eastAsia="メイリオ ボールド イタリック" w:hAnsi="Times" w:cs="メイリオ ボールド イタリック"/>
          <w:b/>
          <w:bCs/>
          <w:kern w:val="0"/>
          <w:sz w:val="32"/>
          <w:szCs w:val="32"/>
        </w:rPr>
      </w:pPr>
      <w:r w:rsidRPr="00F571B6">
        <w:rPr>
          <w:rFonts w:ascii="メイリオ ボールド イタリック" w:eastAsia="メイリオ ボールド イタリック" w:hAnsi="Times" w:cs="メイリオ ボールド イタリック" w:hint="eastAsia"/>
          <w:b/>
          <w:bCs/>
          <w:kern w:val="0"/>
          <w:sz w:val="32"/>
          <w:szCs w:val="32"/>
        </w:rPr>
        <w:t>アレルギー持ちのミドル～シニア層はがん・全死因死亡が低い？</w:t>
      </w:r>
    </w:p>
    <w:p w14:paraId="5DCDE37D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="メイリオ ボールド イタリック" w:eastAsia="メイリオ ボールド イタリック" w:hAnsi="Times" w:cs="メイリオ ボールド イタリック"/>
          <w:kern w:val="0"/>
        </w:rPr>
      </w:pPr>
      <w:r>
        <w:rPr>
          <w:rFonts w:ascii="メイリオ ボールド イタリック" w:eastAsia="メイリオ ボールド イタリック" w:cs="メイリオ ボールド イタリック" w:hint="eastAsia"/>
          <w:kern w:val="0"/>
        </w:rPr>
        <w:t>ケアネット</w:t>
      </w:r>
      <w:r>
        <w:rPr>
          <w:rFonts w:ascii="メイリオ ボールド イタリック" w:eastAsia="メイリオ ボールド イタリック" w:cs="メイリオ ボールド イタリック" w:hint="eastAsia"/>
          <w:kern w:val="0"/>
        </w:rPr>
        <w:t xml:space="preserve">　</w:t>
      </w:r>
      <w:r>
        <w:rPr>
          <w:rFonts w:ascii="メイリオ ボールド イタリック" w:eastAsia="メイリオ ボールド イタリック" w:hAnsi="Times" w:cs="メイリオ ボールド イタリック" w:hint="eastAsia"/>
          <w:kern w:val="0"/>
          <w:sz w:val="22"/>
          <w:szCs w:val="22"/>
        </w:rPr>
        <w:t>公開日：</w:t>
      </w:r>
      <w:r>
        <w:rPr>
          <w:rFonts w:ascii="メイリオ ボールド イタリック" w:eastAsia="メイリオ ボールド イタリック" w:hAnsi="Times" w:cs="メイリオ ボールド イタリック"/>
          <w:kern w:val="0"/>
          <w:sz w:val="22"/>
          <w:szCs w:val="22"/>
        </w:rPr>
        <w:t>2015/09/30</w:t>
      </w:r>
    </w:p>
    <w:p w14:paraId="3E9D0CB3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="メイリオ ボールド イタリック" w:eastAsia="メイリオ ボールド イタリック" w:hAnsi="Helvetica Neue" w:cs="メイリオ ボールド イタリック"/>
          <w:kern w:val="0"/>
          <w:sz w:val="32"/>
          <w:szCs w:val="32"/>
        </w:rPr>
      </w:pPr>
      <w:r>
        <w:rPr>
          <w:rFonts w:ascii="メイリオ ボールド イタリック" w:eastAsia="メイリオ ボールド イタリック" w:hAnsi="Helvetica Neue" w:cs="メイリオ ボールド イタリック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4AE065" wp14:editId="058F5737">
            <wp:simplePos x="0" y="0"/>
            <wp:positionH relativeFrom="margin">
              <wp:align>left</wp:align>
            </wp:positionH>
            <wp:positionV relativeFrom="margin">
              <wp:posOffset>2149475</wp:posOffset>
            </wp:positionV>
            <wp:extent cx="1905000" cy="19050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 ボールド イタリック" w:eastAsia="メイリオ ボールド イタリック" w:hAnsi="Helvetica Neue" w:cs="メイリオ ボールド イタリック" w:hint="eastAsia"/>
          <w:kern w:val="0"/>
          <w:sz w:val="32"/>
          <w:szCs w:val="32"/>
        </w:rPr>
        <w:t xml:space="preserve">　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中高年～高齢者で花粉症を有する患者では、免疫機能に影響を及ぼし、特定の原因による死亡に対して保護的に作用する可能性が、東京大学の小西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 xml:space="preserve"> 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祥子氏らによって報告された。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Clinical &amp; Experimental Allergy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誌オンライン版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2015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年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9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月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14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日掲載の報告。</w:t>
      </w:r>
    </w:p>
    <w:p w14:paraId="29FD0426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</w:p>
    <w:p w14:paraId="6A94E677" w14:textId="77777777" w:rsid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 w:hint="eastAsia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 xml:space="preserve">　本研究は「こもいせコホート疫学研究」データを使用して、花粉症（アレルギー性鼻炎型）の罹患の有無が全死因死亡、原因別死亡を予測するかどうかを調査するために実施された。本コホートは群馬県の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エリアに住む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40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～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69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歳の住民が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1993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年から登録された。</w:t>
      </w:r>
    </w:p>
    <w:p w14:paraId="6D5A5A10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</w:p>
    <w:p w14:paraId="3E3E1B2A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 xml:space="preserve">　現在の研究は、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2000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年のフォローアップ研究から得られた花粉症の情報を基に行われた。死亡や転居の情報は、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2008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年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12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月までのフォローアップ期間を通して得られた。比例ハザードモデルで花粉症と死亡率との関係を調べた。</w:t>
      </w:r>
    </w:p>
    <w:p w14:paraId="6FA4DDC4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</w:p>
    <w:p w14:paraId="22DC9B4C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 xml:space="preserve">　主な結果は以下のとおり。</w:t>
      </w:r>
    </w:p>
    <w:p w14:paraId="043E6617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・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2000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年のフォローアップ研究において、コホート参加者の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12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％（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8,796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例中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1,088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例）が過去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12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ヵ月で花粉症の症状がみられた。</w:t>
      </w:r>
    </w:p>
    <w:p w14:paraId="68DF2BA9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・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7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万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6,186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人年のフォローアップ中、全死因で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748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人が死亡した（外因性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37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人、心血管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208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人、呼吸器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74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人、悪性腫瘍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329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人）。</w:t>
      </w:r>
    </w:p>
    <w:p w14:paraId="549AF225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潜在的な交絡因子を調節した後、</w:t>
      </w:r>
      <w:r w:rsidRPr="00973897">
        <w:rPr>
          <w:rFonts w:asciiTheme="minorEastAsia" w:hAnsiTheme="minorEastAsia" w:cs="メイリオ ボールド イタリック" w:hint="eastAsia"/>
          <w:color w:val="060001"/>
          <w:kern w:val="0"/>
          <w:u w:val="single"/>
        </w:rPr>
        <w:t>花粉症を有する患者では有意に全死因死亡の割合が低かった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（ハザード比：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0.57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、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95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％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CI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：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0.38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～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0.87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）。</w:t>
      </w:r>
    </w:p>
    <w:p w14:paraId="57486A07" w14:textId="77777777" w:rsidR="00F571B6" w:rsidRPr="00F571B6" w:rsidRDefault="00F571B6" w:rsidP="00F571B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 ボールド イタリック"/>
          <w:color w:val="060001"/>
          <w:kern w:val="0"/>
        </w:rPr>
      </w:pP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・</w:t>
      </w:r>
      <w:r w:rsidRPr="00973897">
        <w:rPr>
          <w:rFonts w:asciiTheme="minorEastAsia" w:hAnsiTheme="minorEastAsia" w:cs="メイリオ ボールド イタリック" w:hint="eastAsia"/>
          <w:color w:val="060001"/>
          <w:kern w:val="0"/>
          <w:u w:val="single"/>
        </w:rPr>
        <w:t>悪性腫瘍による死亡も同様の結果であった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（ハザード比：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0.48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、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95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％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CI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：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0.26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～</w:t>
      </w:r>
      <w:r w:rsidRPr="00F571B6">
        <w:rPr>
          <w:rFonts w:asciiTheme="minorEastAsia" w:hAnsiTheme="minorEastAsia" w:cs="メイリオ ボールド イタリック"/>
          <w:color w:val="060001"/>
          <w:kern w:val="0"/>
        </w:rPr>
        <w:t>0.92</w:t>
      </w:r>
      <w:r w:rsidRPr="00F571B6">
        <w:rPr>
          <w:rFonts w:asciiTheme="minorEastAsia" w:hAnsiTheme="minorEastAsia" w:cs="メイリオ ボールド イタリック" w:hint="eastAsia"/>
          <w:color w:val="060001"/>
          <w:kern w:val="0"/>
        </w:rPr>
        <w:t>）。</w:t>
      </w:r>
      <w:bookmarkStart w:id="0" w:name="_GoBack"/>
      <w:bookmarkEnd w:id="0"/>
    </w:p>
    <w:p w14:paraId="101880A9" w14:textId="77777777" w:rsidR="00F571B6" w:rsidRDefault="00F571B6" w:rsidP="00F571B6">
      <w:pPr>
        <w:widowControl/>
        <w:autoSpaceDE w:val="0"/>
        <w:autoSpaceDN w:val="0"/>
        <w:adjustRightInd w:val="0"/>
        <w:jc w:val="left"/>
        <w:rPr>
          <w:rFonts w:ascii="メイリオ ボールド イタリック" w:eastAsia="メイリオ ボールド イタリック" w:hAnsi="Helvetica Neue" w:cs="メイリオ ボールド イタリック" w:hint="eastAsia"/>
          <w:b/>
          <w:bCs/>
          <w:kern w:val="0"/>
        </w:rPr>
      </w:pPr>
      <w:r w:rsidRPr="00F571B6">
        <w:rPr>
          <w:rFonts w:ascii="メイリオ ボールド イタリック" w:eastAsia="メイリオ ボールド イタリック" w:hAnsi="Helvetica Neue" w:cs="メイリオ ボールド イタリック" w:hint="eastAsia"/>
          <w:b/>
          <w:bCs/>
          <w:kern w:val="0"/>
        </w:rPr>
        <w:t>原著論文</w:t>
      </w:r>
    </w:p>
    <w:p w14:paraId="170C9F60" w14:textId="77777777" w:rsidR="0085526B" w:rsidRDefault="00F571B6" w:rsidP="00F571B6">
      <w:hyperlink r:id="rId7" w:history="1">
        <w:r w:rsidRPr="00F571B6">
          <w:rPr>
            <w:rFonts w:ascii="メイリオ ボールド イタリック" w:eastAsia="メイリオ ボールド イタリック" w:hAnsi="Helvetica Neue" w:cs="メイリオ ボールド イタリック"/>
            <w:color w:val="474545"/>
            <w:kern w:val="0"/>
            <w:u w:val="single" w:color="474545"/>
          </w:rPr>
          <w:t>Konishi S, et al. Clin Exp Allergy. 2015 Sep 14. [Epub ahead of print]</w:t>
        </w:r>
      </w:hyperlink>
    </w:p>
    <w:sectPr w:rsidR="0085526B" w:rsidSect="00ED54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 ボールド イタリック">
    <w:panose1 w:val="020B08040305040B0204"/>
    <w:charset w:val="4E"/>
    <w:family w:val="auto"/>
    <w:pitch w:val="variable"/>
    <w:sig w:usb0="E10102FF" w:usb1="EAC7FFFF" w:usb2="00010012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B6"/>
    <w:rsid w:val="0085526B"/>
    <w:rsid w:val="00973897"/>
    <w:rsid w:val="00ED5441"/>
    <w:rsid w:val="00F571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53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B6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1B6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B6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1B6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pmc.carenet.com/?pmid=2636672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2</cp:revision>
  <dcterms:created xsi:type="dcterms:W3CDTF">2015-09-30T00:56:00Z</dcterms:created>
  <dcterms:modified xsi:type="dcterms:W3CDTF">2015-09-30T01:04:00Z</dcterms:modified>
</cp:coreProperties>
</file>